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49</w:t>
      </w:r>
    </w:p>
    <w:p>
      <w:r>
        <w:t>Bundesgericht (BGE), 2008-01-01, FR</w:t>
      </w:r>
    </w:p>
    <w:p>
      <w:r>
        <w:rPr>
          <w:b/>
        </w:rPr>
        <w:t xml:space="preserve">Quelle: </w:t>
      </w:r>
      <w:r>
        <w:t>https://mcp.opencaselaw.ch/entscheid/bge_134 III 49</w:t>
      </w:r>
    </w:p>
    <w:p>
      <w:r>
        <w:t>FR: ATF 134 III 49</w:t>
      </w:r>
    </w:p>
    <w:p>
      <w:r>
        <w:t>IT: DTF 134 III 49</w:t>
      </w:r>
    </w:p>
    <w:p>
      <w:pPr>
        <w:pStyle w:val="Heading2"/>
      </w:pPr>
      <w:r>
        <w:t>Regeste</w:t>
      </w:r>
    </w:p>
    <w:p>
      <w:r>
        <w:t>Regeste Art. 694 Abs. 1 ZGB; Verweigerung des Notwegrechts. Der Eigentümer, der Lage und Begrenzung seiner Parzelle selber festlegt und insoweit bewusst auf einen genügenden Weg auf eine öffentliche Strasse verzichtet, kann keinen Notweg beanspruchen (E. 4).</w:t>
      </w:r>
    </w:p>
    <w:p>
      <w:pPr>
        <w:pStyle w:val="Heading2"/>
      </w:pPr>
      <w:r>
        <w:t>Erwägungen</w:t>
      </w:r>
    </w:p>
    <w:p>
      <w:r>
        <w:rPr>
          <w:b/>
        </w:rPr>
        <w:t>E. 4</w:t>
      </w:r>
    </w:p>
    <w:p>
      <w:r>
        <w:t>Le défendeur se plaint d'une violation des art. 2 et 694 al. 1 CC ; les conditions permettant de lui refuser le passage nécessaire ne seraient pas réalisées.</w:t>
      </w:r>
    </w:p>
    <w:p>
      <w:r>
        <w:rPr>
          <w:b/>
        </w:rPr>
        <w:t>E. 4.1</w:t>
      </w:r>
    </w:p>
    <w:p>
      <w:r>
        <w:t>La doctrine admet que le propriétaire ne saurait réclamer de passage lorsqu'il a lui-même causé l'état de nécessité, qu'il l'a toléré ou s'en est accommodé, ou encore lorsqu'il a adopté un comportement contraire au principe de la bonne foi, par exemple en supprimant un passage existant pour en obtenir un plus commode (LIVER, Schweizerisches Privatrecht, vol. V/I, Bâle 1977, p. 269 s.; REY, Basler Kommentar ZGB, vol. II, 3 e éd. 2007, n. 9 ad art. 694 CC ). Le Tribunal fédéral n'a pas contesté ce principe, même s'il en a refusé l'application dans certains cas d'espèce ( ATF 93 II 167 consid. 3 p. 170; arrêt 5C.312/2001 du 4 février 2002, consid. 6b). Le refus du passage suppose que le propriétaire ait provoqué l'état de nécessité en agissant de façon délibérée (CARONI-RUDOLF, Der Notweg, Berne 1969, p. 130; MEIER-HAYOZ, Berner Kommentar, 3 e éd. 1975, n. 56 ad art. 694 CC ; HAAB, Zürcher Kommentar, 2 e éd. 1977, n. 19 ad art. 694, 695, 696 CC ); tel n'est en particulier pas le cas lorsque, en aliénant un immeuble ou une partie de celui-ci, le propriétaire omet de se constituer une servitude de passage sur la parcelle aliénée et que son fonds se trouve ainsi privé de liaison avec la voie publique (MEIER-HAYOZ, op. cit., n. 55 ad art. 694 CC ; REY, op. cit., n. 10 ad art. 694 CC ; LIVER, op. cit., p. 270).</w:t>
      </w:r>
    </w:p>
    <w:p>
      <w:r>
        <w:rPr>
          <w:b/>
        </w:rPr>
        <w:t>E. 4.2</w:t>
      </w:r>
    </w:p>
    <w:p>
      <w:r>
        <w:t>En l'espèce, comme l'a constaté souverainement la cour cantonale ( art. 63 al. 2 OJ ), le défendeur a lui-même déterminé, par diverses divisions, aliénations et réunions de fonds, l'emplacement et la délimitation de sa parcelle, se privant ainsi d'un accès suffisant; il a pris soin de s'aménager une issue, certes insuffisante, sur la voie publique, par le biais d'une servitude de passage grevant l'une des parcelles aliénées. Cette attitude démontre qu'il était parfaitement conscient des difficultés d'accès de la parcelle qu'il avait constituée et qu'il entendait se contenter de cette issue. Le défendeur s'étant ainsi mis délibérément en situation de devoir réclamer un passage sur le fonds des demandeurs, c'est à bon droit que la cour cantonale a rejeté sa prétention. BGE 134 III 49 S. 52 Le défendeur se prévaut en vain de l'arrêt du Tribunal fédéral du 4 février 2002 (arrêt 5C.312/2001, consid. 6b). Selon cet arrêt, on ne peut objecter au propriétaire qui achète un bien-fonds déjà construit d'avoir créé par sa faute le besoin d'accès ni qualifier d'abusive sa renonciation à une servitude insuffisante, qui, en l'espèce, ne constituait pas une solution plus naturelle et moins dommageable par rapport au passage demandé. Ces hypothèses diffèrent fondamentalement de celle de la présente affaire. En effet, d'une part, le défendeur n'a pas acquis un fonds déjà construit mais l'a au contraire lui-même constitué puis bâti; d'autre part, comme on l'a vu, en délimitant son fonds et en y aménageant en toute connaissance de cause un accès insuffisant, il a clairement manifesté sa volonté de se contenter de cet accès, ce qui rend abusive sa prétention.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